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240"/>
      </w:pPr>
    </w:p>
    <w:p>
      <w:pPr>
        <w:jc w:val="center"/>
      </w:pPr>
      <w:r>
        <w:rPr>
          <w:rFonts w:ascii="Arial Unicode MS" w:hAnsi="Arial Unicode MS" w:cs="Arial Unicode MS" w:eastAsia="Arial Unicode MS"/>
          <w:b/>
          <w:color w:val="2E74B5"/>
          <w:sz w:val="20"/>
        </w:rPr>
        <w:t>OPERATIONS MANUAL  /  2026.08</w:t>
      </w:r>
    </w:p>
    <w:p>
      <w:pPr>
        <w:pStyle w:val="Title"/>
        <w:jc w:val="center"/>
      </w:pPr>
      <w:r>
        <w:t xml:space="preserve"> AI 服務台</w:t>
      </w:r>
    </w:p>
    <w:p>
      <w:pPr>
        <w:pStyle w:val="Subtitle"/>
        <w:jc w:val="center"/>
      </w:pPr>
      <w:r>
        <w:t>帳號、LINE、Gemini、用量、CRM、隱碼與轉真人</w:t>
      </w:r>
    </w:p>
    <w:p>
      <w:pPr>
        <w:jc w:val="center"/>
      </w:pPr>
      <w:r>
        <w:rPr>
          <w:rFonts w:ascii="Arial Unicode MS" w:hAnsi="Arial Unicode MS" w:cs="Arial Unicode MS" w:eastAsia="Arial Unicode MS"/>
          <w:b/>
          <w:color w:val="5C6F6A"/>
          <w:sz w:val="22"/>
        </w:rPr>
        <w:t>完整操作手冊  |  版本 1.0</w:t>
      </w:r>
    </w:p>
    <w:p>
      <w:pPr>
        <w:jc w:val="center"/>
      </w:pPr>
      <w:r>
        <w:rPr>
          <w:rFonts w:ascii="Arial Unicode MS" w:hAnsi="Arial Unicode MS" w:cs="Arial Unicode MS" w:eastAsia="Arial Unicode MS"/>
          <w:i/>
          <w:color w:val="5C6F6A"/>
          <w:sz w:val="19"/>
        </w:rPr>
        <w:t>適用於服務經營者、LINE 官方帳號管理者與客服作業人員</w:t>
      </w:r>
    </w:p>
    <w:p>
      <w:pPr>
        <w:spacing w:after="840"/>
      </w:pPr>
    </w:p>
    <w:p>
      <w:pPr>
        <w:spacing w:before="120" w:after="200" w:line="300" w:lineRule="auto"/>
        <w:ind w:left="202" w:right="202"/>
        <w:shd w:fill="EAF7F2"/>
        <w:pBdr>
          <w:left w:val="single" w:sz="18" w:color="17352F"/>
        </w:pBdr>
      </w:pPr>
      <w:r>
        <w:rPr>
          <w:rFonts w:ascii="Arial Unicode MS" w:hAnsi="Arial Unicode MS" w:cs="Arial Unicode MS" w:eastAsia="Arial Unicode MS"/>
          <w:b/>
          <w:color w:val="17352F"/>
        </w:rPr>
        <w:t xml:space="preserve">重要： </w:t>
      </w:r>
      <w:r>
        <w:rPr>
          <w:rFonts w:ascii="Arial Unicode MS" w:hAnsi="Arial Unicode MS" w:cs="Arial Unicode MS" w:eastAsia="Arial Unicode MS"/>
        </w:rPr>
        <w:t>本手冊的帳號、Email、Webhook、客戶名稱與數據全為本機測試資料，不含真實客戶或憑證。</w:t>
      </w:r>
    </w:p>
    <w:p>
      <w:pPr>
        <w:pStyle w:val="Heading1"/>
        <w:pageBreakBefore/>
      </w:pPr>
      <w:r>
        <w:t>1. 上線前先看這一頁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結論先行：完成 Gemini、LINE 與通知 Email 後，才是可真正接客的狀態。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建立帳號：用 Email 與至少 12 字元密碼註冊，系統會直接建立「我的 AI 服務台」。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設定 Gemini：輸入工作區專屬 API key、選模型，並設每月與單一客戶上限。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連接 LINE：輸入 Channel secret 與 access token，把系統產生的 Webhook URL 回填 LINE Developers。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設定通知 Email：客戶輸入「轉真人」時，系統會寄送通知。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驗收：從真實 LINE 傳送測試問題，確認回覆、儀表板、隱碼與轉真人都正常。</w:t>
      </w:r>
    </w:p>
    <w:p>
      <w:pPr>
        <w:spacing w:before="120" w:after="200" w:line="300" w:lineRule="auto"/>
        <w:ind w:left="202" w:right="202"/>
        <w:shd w:fill="FFF8E8"/>
        <w:pBdr>
          <w:left w:val="single" w:sz="18" w:color="D68A2F"/>
        </w:pBdr>
      </w:pPr>
      <w:r>
        <w:rPr>
          <w:rFonts w:ascii="Arial Unicode MS" w:hAnsi="Arial Unicode MS" w:cs="Arial Unicode MS" w:eastAsia="Arial Unicode MS"/>
          <w:b/>
          <w:color w:val="7A5A00"/>
        </w:rPr>
        <w:t xml:space="preserve">尚未開通： </w:t>
      </w:r>
      <w:r>
        <w:rPr>
          <w:rFonts w:ascii="Arial Unicode MS" w:hAnsi="Arial Unicode MS" w:cs="Arial Unicode MS" w:eastAsia="Arial Unicode MS"/>
        </w:rPr>
        <w:t>Google、LINE、Apple 一鍵登入需先在各平台建立 OAuth 應用並配置憑證。PayUni／綠界僅保留串接層，商家審核完成前不顯示付款入口。</w:t>
      </w:r>
    </w:p>
    <w:p>
      <w:pPr>
        <w:pStyle w:val="Caption"/>
        <w:jc w:val="center"/>
      </w:pPr>
      <w:r>
        <w:t>圖 1．公開方案頁：免費 CRM 預覽、NT$650、NT$3,000 與企業洽談。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4095750"/>
            <wp:docPr id="1" name="Picture 1" descr="AI 服務台公開方案頁，顯示四種方案與建立工作區按鈕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ns-deskto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095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2. 建立帳號與登入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工作區名稱與負責人不需在註冊時填寫，先用最少欄位完成建立。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開啟「建立帳號」，填入登入 Email 與至少 12 字元密碼。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若有邀請碼可一併填入；綁定後無法更換。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按「建立工作區」後直接進入「我的 AI 服務台」。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日後可用同一 Email／密碼登入；忘記密碼時使用「忘記密碼」。</w:t>
      </w:r>
    </w:p>
    <w:p>
      <w:pPr>
        <w:pStyle w:val="Caption"/>
        <w:jc w:val="center"/>
      </w:pPr>
      <w:r>
        <w:t>圖 2．手機版註冊：只需 Email、密碼，邀請碼為選填。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2788920" cy="8037810"/>
            <wp:docPr id="2" name="Picture 2" descr="手機版建立帳號頁，含 Email、密碼與選填邀請碼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register-mobil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80378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圖 3．手機版登入：OAuth 尚未配置時會明確顯示「尚未連接」。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2788920" cy="6829278"/>
            <wp:docPr id="3" name="Picture 3" descr="手機版登入頁，顯示 Email 密碼與 LINE Google Apple 登入狀態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login-mobi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68292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3. 設定 Gemini、用量上限與 Email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API key 是工作區專屬機密：可寫入、可移除，但系統不會再顯示完整值。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Gemini API key：從 Google AI Studio 取得後輸入；儲存後欄位會清空。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回覆模型：預設為 Gemini 3.5 Flash-Lite，也可從伺服器核准的 Gemini 3 以上清單切換。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每月 API 預算：估算用量達 80% 時寄送預警，達 100% 時寄送停用通知並停止 AI 回覆。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單一客戶上限：可設詢問次數或預估費用上限，避免少數人佔用全部預算。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真人轉接通知：填入通知 Email；儲存後只顯示隱碼信箱。</w:t>
      </w:r>
    </w:p>
    <w:p>
      <w:pPr>
        <w:spacing w:before="120" w:after="200" w:line="300" w:lineRule="auto"/>
        <w:ind w:left="202" w:right="202"/>
        <w:shd w:fill="EAF7F2"/>
        <w:pBdr>
          <w:left w:val="single" w:sz="18" w:color="17352F"/>
        </w:pBdr>
      </w:pPr>
      <w:r>
        <w:rPr>
          <w:rFonts w:ascii="Arial Unicode MS" w:hAnsi="Arial Unicode MS" w:cs="Arial Unicode MS" w:eastAsia="Arial Unicode MS"/>
          <w:b/>
          <w:color w:val="17352F"/>
        </w:rPr>
        <w:t xml:space="preserve">影片與圖片： </w:t>
      </w:r>
      <w:r>
        <w:rPr>
          <w:rFonts w:ascii="Arial Unicode MS" w:hAnsi="Arial Unicode MS" w:cs="Arial Unicode MS" w:eastAsia="Arial Unicode MS"/>
        </w:rPr>
        <w:t>目前圖片生成已關閉，避免產生額外費用；僅處理文字回覆與核准的靜態資產。</w:t>
      </w:r>
    </w:p>
    <w:p>
      <w:pPr>
        <w:pStyle w:val="Caption"/>
        <w:jc w:val="center"/>
      </w:pPr>
      <w:r>
        <w:t>圖 4．Gemini 設定、用量到 80% 預警、單客戶上限與轉真人 Email。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06440" cy="6401972"/>
            <wp:docPr id="4" name="Picture 4" descr="Gemini 設定區，顯示模型、預算、80 percent 用量條、客戶上限與隱碼通知 Email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ai-budget-and-emai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4019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4. 連接 LINE 官方帳號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每個工作區使用自己的 LINE 憑證與專屬 Webhook URL。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在 LINE Developers 確認 Messaging API channel 的 Channel secret 與 long-lived Channel access token。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回到工作區，填入兩項憑證後按「加密保存並產生 Webhook URL」。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複製 Webhook URL，貼回 LINE Developers 的 Webhook settings。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開啟 Use webhook，再用 Verify 或從真實 LINE 傳送一則測試訊息。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若要更換憑證，先斷開舊連線再重新綁定；舊 Webhook URL 會立即失效。</w:t>
      </w:r>
    </w:p>
    <w:p>
      <w:pPr>
        <w:spacing w:before="120" w:after="200" w:line="300" w:lineRule="auto"/>
        <w:ind w:left="202" w:right="202"/>
        <w:shd w:fill="FFF8E8"/>
        <w:pBdr>
          <w:left w:val="single" w:sz="18" w:color="D68A2F"/>
        </w:pBdr>
      </w:pPr>
      <w:r>
        <w:rPr>
          <w:rFonts w:ascii="Arial Unicode MS" w:hAnsi="Arial Unicode MS" w:cs="Arial Unicode MS" w:eastAsia="Arial Unicode MS"/>
          <w:b/>
          <w:color w:val="7A5A00"/>
        </w:rPr>
        <w:t xml:space="preserve">排錯順序： </w:t>
      </w:r>
      <w:r>
        <w:rPr>
          <w:rFonts w:ascii="Arial Unicode MS" w:hAnsi="Arial Unicode MS" w:cs="Arial Unicode MS" w:eastAsia="Arial Unicode MS"/>
        </w:rPr>
        <w:t>LINE 無回應時，依序檢查 Gemini API key、LINE 連線狀態、Webhook URL、Use webhook、簽章錯誤與本期預算是否達 100%。</w:t>
      </w:r>
    </w:p>
    <w:p>
      <w:pPr>
        <w:pStyle w:val="Heading1"/>
        <w:pageBreakBefore/>
      </w:pPr>
      <w:r>
        <w:t>5. 儀表板與 CRM 資料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儀表板可查看 7、30、90 天趨勢，並把模型品質、客戶意向與真人待辦分開呈現。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新對話、互動回合、諮詢人數：用來觀察進線規模與 webhook 重送排除。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高意願、人工關注、面談請求：用來排定跟進順序，不代表承保或成交結論。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每日趨勢、進線時段、熱門問題與回答路由：用來調整服務時間與內容。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AI 回答品質：成功、拒答覆核、模型失敗與平均耗時分開計數。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免費與基本範圍最多顯示前 10 筆 CRM；CRM 專業版解鎖完整資料與進階分析。</w:t>
      </w:r>
    </w:p>
    <w:p>
      <w:pPr>
        <w:pStyle w:val="Caption"/>
        <w:jc w:val="center"/>
      </w:pPr>
      <w:r>
        <w:t>圖 5．服務營運總覽：期間、隱碼控制、KPI、日趨勢與尖峰時段。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24803"/>
            <wp:docPr id="5" name="Picture 5" descr="營運儀表板，顯示 30 天期間、一般資料隱碼、六個 KPI 與趨勢圖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dashboard-summar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248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6. 客戶資料責任與隱碼規範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本章是服務使用邊界，也是上線前必須告知租戶的作業規則。</w:t>
      </w:r>
    </w:p>
    <w:p>
      <w:pPr>
        <w:spacing w:before="120" w:after="200" w:line="300" w:lineRule="auto"/>
        <w:ind w:left="202" w:right="202"/>
        <w:shd w:fill="EAF7F2"/>
        <w:pBdr>
          <w:left w:val="single" w:sz="18" w:color="17352F"/>
        </w:pBdr>
      </w:pPr>
      <w:r>
        <w:rPr>
          <w:rFonts w:ascii="Arial Unicode MS" w:hAnsi="Arial Unicode MS" w:cs="Arial Unicode MS" w:eastAsia="Arial Unicode MS"/>
          <w:b/>
          <w:color w:val="17352F"/>
        </w:rPr>
        <w:t xml:space="preserve">責任條款： </w:t>
      </w:r>
      <w:r>
        <w:rPr>
          <w:rFonts w:ascii="Arial Unicode MS" w:hAnsi="Arial Unicode MS" w:cs="Arial Unicode MS" w:eastAsia="Arial Unicode MS"/>
        </w:rPr>
        <w:t>AI 服務台是資料處理與顯示工具，不擔任租戶客戶資料的唯一或法定原始保管處。租戶應依法取得、維護、備份與刪除自己的原始資料。這不免除平台對其實際控制之儲存、傳輸、存取控制、事件通報、依法刪除與安全維護所負的責任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720"/>
        <w:gridCol w:w="1580"/>
        <w:gridCol w:w="3600"/>
        <w:gridCol w:w="3460"/>
      </w:tblGrid>
      <w:tr>
        <w:trPr>
          <w:tblHeader w:val="true"/>
        </w:trPr>
        <w:tc>
          <w:tcPr>
            <w:tcW w:type="dxa" w:w="72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級別</w:t>
            </w:r>
          </w:p>
        </w:tc>
        <w:tc>
          <w:tcPr>
            <w:tcW w:type="dxa" w:w="158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資料類型</w:t>
            </w:r>
          </w:p>
        </w:tc>
        <w:tc>
          <w:tcPr>
            <w:tcW w:type="dxa" w:w="360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顯示規則</w:t>
            </w:r>
          </w:p>
        </w:tc>
        <w:tc>
          <w:tcPr>
            <w:tcW w:type="dxa" w:w="346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例子</w:t>
            </w:r>
          </w:p>
        </w:tc>
      </w:tr>
      <w:tr>
        <w:trPr/>
        <w:tc>
          <w:tcPr>
            <w:tcW w:type="dxa" w:w="72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L0</w:t>
            </w:r>
          </w:p>
        </w:tc>
        <w:tc>
          <w:tcPr>
            <w:tcW w:type="dxa" w:w="158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服務機密</w:t>
            </w:r>
          </w:p>
        </w:tc>
        <w:tc>
          <w:tcPr>
            <w:tcW w:type="dxa" w:w="36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只可寫入或更換；永不顯示原值</w:t>
            </w:r>
          </w:p>
        </w:tc>
        <w:tc>
          <w:tcPr>
            <w:tcW w:type="dxa" w:w="34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API key、Channel secret、access token、OAuth secret</w:t>
            </w:r>
          </w:p>
        </w:tc>
      </w:tr>
      <w:tr>
        <w:trPr/>
        <w:tc>
          <w:tcPr>
            <w:tcW w:type="dxa" w:w="72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L1</w:t>
            </w:r>
          </w:p>
        </w:tc>
        <w:tc>
          <w:tcPr>
            <w:tcW w:type="dxa" w:w="158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機敏個資</w:t>
            </w:r>
          </w:p>
        </w:tc>
        <w:tc>
          <w:tcPr>
            <w:tcW w:type="dxa" w:w="36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必須隱碼；不提供顯示開關</w:t>
            </w:r>
          </w:p>
        </w:tc>
        <w:tc>
          <w:tcPr>
            <w:tcW w:type="dxa" w:w="34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證號、病歷、診斷、檢驗值、保單號、帳戶號碼</w:t>
            </w:r>
          </w:p>
        </w:tc>
      </w:tr>
      <w:tr>
        <w:trPr/>
        <w:tc>
          <w:tcPr>
            <w:tcW w:type="dxa" w:w="72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L2</w:t>
            </w:r>
          </w:p>
        </w:tc>
        <w:tc>
          <w:tcPr>
            <w:tcW w:type="dxa" w:w="158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一般用戶資料</w:t>
            </w:r>
          </w:p>
        </w:tc>
        <w:tc>
          <w:tcPr>
            <w:tcW w:type="dxa" w:w="36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預設隱碼；登入後可明確操作暫時顯示 5 分鐘</w:t>
            </w:r>
          </w:p>
        </w:tc>
        <w:tc>
          <w:tcPr>
            <w:tcW w:type="dxa" w:w="34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LINE 顯示名稱、電話、Email、聯絡時段、一般詢問主題</w:t>
            </w:r>
          </w:p>
        </w:tc>
      </w:tr>
      <w:tr>
        <w:trPr/>
        <w:tc>
          <w:tcPr>
            <w:tcW w:type="dxa" w:w="72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L3</w:t>
            </w:r>
          </w:p>
        </w:tc>
        <w:tc>
          <w:tcPr>
            <w:tcW w:type="dxa" w:w="158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匿名統計</w:t>
            </w:r>
          </w:p>
        </w:tc>
        <w:tc>
          <w:tcPr>
            <w:tcW w:type="dxa" w:w="36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可直接顯示；不含原始 LINE ID 或可重新識別組合</w:t>
            </w:r>
          </w:p>
        </w:tc>
        <w:tc>
          <w:tcPr>
            <w:tcW w:type="dxa" w:w="34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互動回合、主題趨勢、模型成功率、平均耗時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一般資料的受控顯示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每次開啟畫面都是隱碼狀態；不把選擇寫入 URL、永久瀏覽器儲存或分析工具。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按「暫時顯示一般資料」後只解開 L2；L0 與 L1 仍隱碼。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顯示最長 5 分鐘；重新整理、登出、session 失效或切換工作區就恢復隱碼。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複製、匯出與列印是另一個高風險動作，不因畫面已顯示就自動解鎖。</w:t>
      </w:r>
    </w:p>
    <w:p>
      <w:pPr>
        <w:pStyle w:val="Caption"/>
        <w:jc w:val="center"/>
      </w:pPr>
      <w:r>
        <w:t>圖 6．預設狀態：一般資料隱碼，機敏資料仍隱碼。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457064"/>
            <wp:docPr id="6" name="Picture 6" descr="一般資料隱碼控制條，按鈕為暫時顯示一般資料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rivacy-maske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57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圖 7．隱碼客戶範例：「王＊姐」，使用客戶代碼進行跟進。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316429"/>
            <wp:docPr id="7" name="Picture 7" descr="優先跟進卡，客戶姓名顯示為王星姐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riority-maske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6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圖 8．受控顯示：一般資料暫時顯示 5 分鐘，可隨時立即隱碼。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457064"/>
            <wp:docPr id="8" name="Picture 8" descr="一般資料暫時顯示控制條，顯示五分鐘與立即隱碼按鈕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privacy-revealed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457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圖 9．只解開一般姓名「王小姐」；機敏內容沒有顯示開關。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897880" cy="316429"/>
            <wp:docPr id="9" name="Picture 9" descr="優先跟進卡，受控顯示後客戶一般姓名為王小姐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priority-revealed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6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7. 轉真人與 Email 通知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轉真人不會關閉 AI；它是把人工待辦與通知送到正確人員。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管理者在「真人轉接通知」填入收件 Email。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客戶在 LINE 輸入「轉真人」或系統判定需人工關注時，建立待辦並嘗試寄信。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Email 不應附完整機敏內容；用客戶代碼、主題與回後台查看的方式通知。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Arial Unicode MS" w:hAnsi="Arial Unicode MS" w:cs="Arial Unicode MS" w:eastAsia="Arial Unicode MS"/>
        </w:rPr>
        <w:t>若寄信服務未設定，工作區會顯示「信箱已儲存，但暫時無法寄送」；不可當成已通知。</w:t>
      </w:r>
    </w:p>
    <w:p>
      <w:pPr>
        <w:spacing w:before="120" w:after="200" w:line="300" w:lineRule="auto"/>
        <w:ind w:left="202" w:right="202"/>
        <w:shd w:fill="EAF7F2"/>
        <w:pBdr>
          <w:left w:val="single" w:sz="18" w:color="17352F"/>
        </w:pBdr>
      </w:pPr>
      <w:r>
        <w:rPr>
          <w:rFonts w:ascii="Arial Unicode MS" w:hAnsi="Arial Unicode MS" w:cs="Arial Unicode MS" w:eastAsia="Arial Unicode MS"/>
          <w:b/>
          <w:color w:val="17352F"/>
        </w:rPr>
        <w:t xml:space="preserve">建議 SLA： </w:t>
      </w:r>
      <w:r>
        <w:rPr>
          <w:rFonts w:ascii="Arial Unicode MS" w:hAnsi="Arial Unicode MS" w:cs="Arial Unicode MS" w:eastAsia="Arial Unicode MS"/>
        </w:rPr>
        <w:t>將人工關注待辦列入每日固定巡檢；高意願、條款判斷與個案核保問題由真人確認。</w:t>
      </w:r>
    </w:p>
    <w:p>
      <w:pPr>
        <w:pStyle w:val="Heading1"/>
        <w:pageBreakBefore/>
      </w:pPr>
      <w:r>
        <w:t>8. 方案、推薦回饋與尚未啟用功能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價格與分潤規則由伺服器統一回傳，前端不自行猜測。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00"/>
        <w:gridCol w:w="1800"/>
        <w:gridCol w:w="5060"/>
      </w:tblGrid>
      <w:tr>
        <w:trPr>
          <w:tblHeader w:val="true"/>
        </w:trPr>
        <w:tc>
          <w:tcPr>
            <w:tcW w:type="dxa" w:w="250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方案</w:t>
            </w:r>
          </w:p>
        </w:tc>
        <w:tc>
          <w:tcPr>
            <w:tcW w:type="dxa" w:w="180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價格</w:t>
            </w:r>
          </w:p>
        </w:tc>
        <w:tc>
          <w:tcPr>
            <w:tcW w:type="dxa" w:w="5060"/>
            <w:shd w:fill="E8EEF5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Arial Unicode MS" w:hAnsi="Arial Unicode MS" w:cs="Arial Unicode MS" w:eastAsia="Arial Unicode MS"/>
                <w:b/>
                <w:color w:val="17352F"/>
                <w:sz w:val="19"/>
              </w:rPr>
              <w:t>資料與功能範圍</w:t>
            </w:r>
          </w:p>
        </w:tc>
      </w:tr>
      <w:tr>
        <w:trPr/>
        <w:tc>
          <w:tcPr>
            <w:tcW w:type="dxa" w:w="25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CRM 免費預覽</w:t>
            </w:r>
          </w:p>
        </w:tc>
        <w:tc>
          <w:tcPr>
            <w:tcW w:type="dxa" w:w="18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NT$0</w:t>
            </w:r>
          </w:p>
        </w:tc>
        <w:tc>
          <w:tcPr>
            <w:tcW w:type="dxa" w:w="50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最多前 10 筆 CRM；不含 AI 回覆服務</w:t>
            </w:r>
          </w:p>
        </w:tc>
      </w:tr>
      <w:tr>
        <w:trPr/>
        <w:tc>
          <w:tcPr>
            <w:tcW w:type="dxa" w:w="25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基本方案</w:t>
            </w:r>
          </w:p>
        </w:tc>
        <w:tc>
          <w:tcPr>
            <w:tcW w:type="dxa" w:w="18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NT$650／月</w:t>
            </w:r>
          </w:p>
        </w:tc>
        <w:tc>
          <w:tcPr>
            <w:tcW w:type="dxa" w:w="50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AI 回覆與 CRM 前 10 筆；適合單一 LINE OA</w:t>
            </w:r>
          </w:p>
        </w:tc>
      </w:tr>
      <w:tr>
        <w:trPr/>
        <w:tc>
          <w:tcPr>
            <w:tcW w:type="dxa" w:w="25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CRM 專業版</w:t>
            </w:r>
          </w:p>
        </w:tc>
        <w:tc>
          <w:tcPr>
            <w:tcW w:type="dxa" w:w="18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NT$3,000／月</w:t>
            </w:r>
          </w:p>
        </w:tc>
        <w:tc>
          <w:tcPr>
            <w:tcW w:type="dxa" w:w="50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完整 CRM、全部客戶資料與進階分析</w:t>
            </w:r>
          </w:p>
        </w:tc>
      </w:tr>
      <w:tr>
        <w:trPr/>
        <w:tc>
          <w:tcPr>
            <w:tcW w:type="dxa" w:w="25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企業版</w:t>
            </w:r>
          </w:p>
        </w:tc>
        <w:tc>
          <w:tcPr>
            <w:tcW w:type="dxa" w:w="180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洽談</w:t>
            </w:r>
          </w:p>
        </w:tc>
        <w:tc>
          <w:tcPr>
            <w:tcW w:type="dxa" w:w="5060"/>
            <w:tcBorders>
              <w:top w:val="single" w:sz="6" w:color="D7E1DE"/>
              <w:start w:val="single" w:sz="6" w:color="D7E1DE"/>
              <w:bottom w:val="single" w:sz="6" w:color="D7E1DE"/>
              <w:end w:val="single" w:sz="6" w:color="D7E1DE"/>
              <w:insideH w:val="single" w:sz="6" w:color="D7E1DE"/>
              <w:insideV w:val="single" w:sz="6" w:color="D7E1DE"/>
            </w:tcBorders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 Unicode MS" w:hAnsi="Arial Unicode MS" w:cs="Arial Unicode MS" w:eastAsia="Arial Unicode MS"/>
                <w:sz w:val="18"/>
              </w:rPr>
              <w:t>多 LINE OA、團隊流程與自訂分析</w:t>
            </w:r>
          </w:p>
        </w:tc>
      </w:tr>
    </w:tbl>
    <w:p>
      <w:pPr>
        <w:spacing w:before="80" w:after="80"/>
      </w:pP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每個工作區有自己的邀請碼；可於註冊或登入後補登。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受邀者每月成功續購可產生 15% 分潤；提款手續費為 NT$30。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每個工作區只能綁定一次；自我推薦、無效碼與重複綁定會被拒絕。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撥款認證與付款商家審核完成前，不顯示假提款或假付款按鈕。</w:t>
      </w:r>
    </w:p>
    <w:p>
      <w:pPr>
        <w:pStyle w:val="Caption"/>
        <w:jc w:val="center"/>
      </w:pPr>
      <w:r>
        <w:t>圖 10．推薦回饋：邀請碼、15%、NT$30、結算餘額與補登狀態。</w:t>
      </w:r>
    </w:p>
    <w:p>
      <w:pPr>
        <w:keepLines/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3246120" cy="3884824"/>
            <wp:docPr id="10" name="Picture 10" descr="推薦回饋卡，顯示測試邀請碼、15 percent 分潤、30 元手續費與450 元結算餘額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referral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884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9. 常見問題與上線驗收</w:t>
      </w:r>
    </w:p>
    <w:p>
      <w:pPr>
        <w:spacing w:after="240"/>
      </w:pPr>
      <w:r>
        <w:rPr>
          <w:rFonts w:ascii="Arial Unicode MS" w:hAnsi="Arial Unicode MS" w:cs="Arial Unicode MS" w:eastAsia="Arial Unicode MS"/>
          <w:color w:val="5C6F6A"/>
          <w:sz w:val="21"/>
        </w:rPr>
        <w:t>對外說「已上線」前，要驗的是真實服務邊界，不是只看伺服器有沒有回 200。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公開網址：首頁、註冊、登入、工作區在桌機與390px 手機無水平溢位。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帳號：註冊直接建立工作區；登出後受保護 API 不可讀取。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Gemini：API key 儲存後不回顯；模型與用量上限為工作區專屬。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LINE：以真實簽章訊息測試、收到回覆，並在儀表板看到互動數增加。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隱碼：預設為隱碼；一般資料可暫時顯示；機敏資料無任何解鎖方式。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Email：80%、100% 預算通知與轉真人通知要用真實收件箱驗證。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付款／OAuth：未完成供應商審核與憑證配置時，畫面必須明確顯示尚未連接，不得假裝成功。</w:t>
      </w:r>
    </w:p>
    <w:p>
      <w:pPr>
        <w:spacing w:after="80" w:line="300" w:lineRule="auto"/>
        <w:numPr>
          <w:ilvl w:val="0"/>
          <w:numId w:val="11"/>
        </w:numPr>
      </w:pPr>
      <w:r>
        <w:rPr>
          <w:rFonts w:ascii="Arial Unicode MS" w:hAnsi="Arial Unicode MS" w:cs="Arial Unicode MS" w:eastAsia="Arial Unicode MS"/>
        </w:rPr>
        <w:t>備份：租戶確認原始客戶資料的取得、備份、保留與刪除流程；平台確認實際控制資料的安全措施。</w:t>
      </w:r>
    </w:p>
    <w:p>
      <w:pPr>
        <w:spacing w:before="120" w:after="200" w:line="300" w:lineRule="auto"/>
        <w:ind w:left="202" w:right="202"/>
        <w:shd w:fill="FFF8E8"/>
        <w:pBdr>
          <w:left w:val="single" w:sz="18" w:color="D68A2F"/>
        </w:pBdr>
      </w:pPr>
      <w:r>
        <w:rPr>
          <w:rFonts w:ascii="Arial Unicode MS" w:hAnsi="Arial Unicode MS" w:cs="Arial Unicode MS" w:eastAsia="Arial Unicode MS"/>
          <w:b/>
          <w:color w:val="7A5A00"/>
        </w:rPr>
        <w:t xml:space="preserve">完成標準： </w:t>
      </w:r>
      <w:r>
        <w:rPr>
          <w:rFonts w:ascii="Arial Unicode MS" w:hAnsi="Arial Unicode MS" w:cs="Arial Unicode MS" w:eastAsia="Arial Unicode MS"/>
        </w:rPr>
        <w:t>只有當本機／測試、GitHub 提交、Vercel／Render 公開網址、LINE Webhook 與 Email 收件都各自驗證通過，才能對外宣稱整體服務已完成部署。</w:t>
      </w:r>
    </w:p>
    <w:p>
      <w:pPr>
        <w:pStyle w:val="Heading2"/>
      </w:pPr>
      <w:r>
        <w:t>本手冊對應的正式規範</w:t>
      </w:r>
    </w:p>
    <w:p>
      <w:r>
        <w:rPr>
          <w:rFonts w:ascii="Arial Unicode MS" w:hAnsi="Arial Unicode MS" w:cs="Arial Unicode MS" w:eastAsia="Arial Unicode MS"/>
          <w:b/>
          <w:color w:val="1F4D78"/>
        </w:rPr>
        <w:t>完整政策原文見專案內 docs/DATA-RESPONSIBILITY-AND-MASKING-POLICY.md。</w:t>
      </w:r>
    </w:p>
    <w:p>
      <w:r>
        <w:t>本手冊為產品操作與內部流程說明，實際個資告知、契約與法令文字應由負責法遵的人員核定。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cs="Arial Unicode MS" w:eastAsia="Arial Unicode MS"/>
        <w:color w:val="5C6F6A"/>
        <w:sz w:val="17"/>
      </w:rPr>
      <w:t xml:space="preserve">AI 服務台操作手冊  | 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 Unicode MS" w:hAnsi="Arial Unicode MS" w:cs="Arial Unicode MS" w:eastAsia="Arial Unicode MS"/>
        <w:b/>
        <w:color w:val="5C6F6A"/>
        <w:sz w:val="17"/>
      </w:rPr>
      <w:t>AI SERVICE DESK  |  OPERATOR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 Unicode MS" w:hAnsi="Arial Unicode MS" w:cs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 Unicode MS" w:hAnsi="Arial Unicode MS" w:cs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 Unicode MS" w:hAnsi="Arial Unicode MS" w:cs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 Unicode MS" w:hAnsi="Arial Unicode MS" w:cs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 Unicode MS" w:hAnsi="Arial Unicode MS" w:cs="Arial Unicode MS" w:eastAsia="Arial Unicode MS"/>
      <w:b/>
      <w:color w:val="17352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00"/>
    </w:pPr>
    <w:rPr>
      <w:rFonts w:asciiTheme="majorHAnsi" w:eastAsiaTheme="majorEastAsia" w:hAnsiTheme="majorHAnsi" w:cstheme="majorBidi" w:ascii="Arial Unicode MS" w:hAnsi="Arial Unicode MS" w:cs="Arial Unicode MS" w:eastAsia="Arial Unicode MS"/>
      <w:i/>
      <w:iCs/>
      <w:color w:val="1F4D78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/>
      <w:spacing w:line="240" w:lineRule="auto" w:before="80" w:after="80"/>
    </w:pPr>
    <w:rPr>
      <w:rFonts w:ascii="Arial Unicode MS" w:hAnsi="Arial Unicode MS" w:cs="Arial Unicode MS" w:eastAsia="Arial Unicode MS"/>
      <w:b/>
      <w:bCs/>
      <w:i w:val="0"/>
      <w:color w:val="5C6F6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服務台完整操作手冊</dc:title>
  <dc:subject>帳號、LINE、Gemini、用量、CRM、隱碼與轉真人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